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400"/>
        <w:jc w:val="center"/>
        <w:rPr>
          <w:rFonts w:ascii="方正小标宋简体" w:cs="方正小标宋简体" w:eastAsia="方正小标宋简体" w:hAnsi="方正小标宋简体" w:hint="eastAsia"/>
          <w:sz w:val="36"/>
          <w:szCs w:val="36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防城港市口岸办202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  <w:lang w:val="en-US"/>
        </w:rPr>
        <w:t>4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年公开招聘驻港口岸查验部门协管员计划表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  <w:lang w:eastAsia="zh-CN"/>
        </w:rPr>
        <w:t>（防城边检站）</w:t>
      </w:r>
    </w:p>
    <w:p>
      <w:pPr>
        <w:pStyle w:val="style0"/>
        <w:spacing w:lineRule="exact" w:line="4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时间：202</w:t>
      </w:r>
      <w:r>
        <w:rPr>
          <w:rFonts w:ascii="仿宋_GB2312" w:eastAsia="仿宋_GB2312" w:hint="eastAsia"/>
          <w:sz w:val="30"/>
          <w:szCs w:val="30"/>
          <w:lang w:val="en-US"/>
        </w:rPr>
        <w:t>4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lang w:val="en-US" w:eastAsia="zh-CN"/>
        </w:rPr>
        <w:t>1</w:t>
      </w:r>
      <w:r>
        <w:rPr>
          <w:rFonts w:ascii="仿宋_GB2312" w:eastAsia="仿宋_GB2312" w:hint="default"/>
          <w:sz w:val="30"/>
          <w:szCs w:val="30"/>
          <w:lang w:val="en-US" w:eastAsia="zh-CN"/>
        </w:rPr>
        <w:t>1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default"/>
          <w:sz w:val="30"/>
          <w:szCs w:val="30"/>
          <w:lang w:val="en-US"/>
        </w:rPr>
        <w:t>5</w:t>
      </w:r>
      <w:r>
        <w:rPr>
          <w:rFonts w:ascii="仿宋_GB2312" w:eastAsia="仿宋_GB2312" w:hint="eastAsia"/>
          <w:sz w:val="30"/>
          <w:szCs w:val="30"/>
        </w:rPr>
        <w:t>日</w:t>
      </w:r>
    </w:p>
    <w:tbl>
      <w:tblPr>
        <w:tblStyle w:val="style154"/>
        <w:tblW w:w="13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978"/>
        <w:gridCol w:w="1200"/>
        <w:gridCol w:w="870"/>
        <w:gridCol w:w="787"/>
        <w:gridCol w:w="720"/>
        <w:gridCol w:w="2041"/>
        <w:gridCol w:w="1716"/>
      </w:tblGrid>
      <w:tr>
        <w:trPr>
          <w:trHeight w:val="475" w:hRule="atLeast"/>
          <w:jc w:val="center"/>
        </w:trPr>
        <w:tc>
          <w:tcPr>
            <w:tcW w:w="63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47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招聘单位</w:t>
            </w:r>
          </w:p>
        </w:tc>
        <w:tc>
          <w:tcPr>
            <w:tcW w:w="105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招聘岗位</w:t>
            </w:r>
          </w:p>
        </w:tc>
        <w:tc>
          <w:tcPr>
            <w:tcW w:w="5434" w:type="dxa"/>
            <w:gridSpan w:val="5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报考资格条件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是否进行笔试</w:t>
            </w:r>
          </w:p>
        </w:tc>
        <w:tc>
          <w:tcPr>
            <w:tcW w:w="720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是否进行面试</w:t>
            </w:r>
          </w:p>
        </w:tc>
        <w:tc>
          <w:tcPr>
            <w:tcW w:w="2041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招考</w:t>
            </w:r>
          </w:p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范围</w:t>
            </w:r>
          </w:p>
        </w:tc>
        <w:tc>
          <w:tcPr>
            <w:tcW w:w="171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63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/>
            </w:pPr>
          </w:p>
        </w:tc>
        <w:tc>
          <w:tcPr>
            <w:tcW w:w="147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/>
            </w:pPr>
          </w:p>
        </w:tc>
        <w:tc>
          <w:tcPr>
            <w:tcW w:w="105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/>
            </w:pPr>
          </w:p>
        </w:tc>
        <w:tc>
          <w:tcPr>
            <w:tcW w:w="661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725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人数</w:t>
            </w:r>
          </w:p>
        </w:tc>
        <w:tc>
          <w:tcPr>
            <w:tcW w:w="1978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专业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87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年龄</w:t>
            </w: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/>
            </w:pPr>
          </w:p>
        </w:tc>
        <w:tc>
          <w:tcPr>
            <w:tcW w:w="720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/>
            </w:pPr>
          </w:p>
        </w:tc>
        <w:tc>
          <w:tcPr>
            <w:tcW w:w="2041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/>
            </w:pPr>
          </w:p>
        </w:tc>
        <w:tc>
          <w:tcPr>
            <w:tcW w:w="171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/>
            </w:pP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page" w:tblpX="1648" w:tblpY="89"/>
        <w:tblOverlap w:val="never"/>
        <w:tblW w:w="138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978"/>
        <w:gridCol w:w="1200"/>
        <w:gridCol w:w="870"/>
        <w:gridCol w:w="787"/>
        <w:gridCol w:w="720"/>
        <w:gridCol w:w="2041"/>
        <w:gridCol w:w="1716"/>
      </w:tblGrid>
      <w:tr>
        <w:trPr>
          <w:trHeight w:val="1974" w:hRule="atLeast"/>
        </w:trPr>
        <w:tc>
          <w:tcPr>
            <w:tcW w:w="63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szCs w:val="21"/>
                <w:lang w:val="en-US" w:eastAsia="zh-CN"/>
              </w:rPr>
              <w:t>1</w:t>
            </w:r>
          </w:p>
        </w:tc>
        <w:tc>
          <w:tcPr>
            <w:tcW w:w="147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防城边检站</w:t>
            </w:r>
          </w:p>
        </w:tc>
        <w:tc>
          <w:tcPr>
            <w:tcW w:w="105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边检站</w:t>
            </w:r>
            <w:r>
              <w:rPr>
                <w:rFonts w:ascii="仿宋_GB2312" w:eastAsia="仿宋_GB2312" w:hint="eastAsia"/>
                <w:szCs w:val="21"/>
              </w:rPr>
              <w:t>协管员</w:t>
            </w:r>
          </w:p>
          <w:bookmarkStart w:id="0" w:name="_GoBack" w:colFirst="3" w:colLast="11"/>
        </w:tc>
        <w:tc>
          <w:tcPr>
            <w:tcW w:w="661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男</w:t>
            </w:r>
          </w:p>
        </w:tc>
        <w:tc>
          <w:tcPr>
            <w:tcW w:w="725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default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978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both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1.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越南语专业</w:t>
            </w:r>
            <w:r>
              <w:rPr>
                <w:rFonts w:ascii="仿宋_GB2312" w:eastAsia="仿宋_GB2312" w:hint="default"/>
                <w:color w:val="auto"/>
                <w:szCs w:val="21"/>
                <w:lang w:val="en-US" w:eastAsia="zh-CN"/>
              </w:rPr>
              <w:t>、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计算机及应用类相关</w:t>
            </w:r>
            <w:r>
              <w:rPr>
                <w:rFonts w:ascii="仿宋_GB2312" w:eastAsia="仿宋_GB2312"/>
                <w:color w:val="auto"/>
                <w:szCs w:val="21"/>
              </w:rPr>
              <w:t>专业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各</w:t>
            </w: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1名，其余不限专业;</w:t>
            </w:r>
          </w:p>
          <w:p>
            <w:pPr>
              <w:pStyle w:val="style0"/>
              <w:spacing w:lineRule="exact" w:line="400"/>
              <w:jc w:val="both"/>
              <w:rPr>
                <w:rFonts w:ascii="仿宋_GB2312" w:eastAsia="仿宋_GB2312" w:hint="default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2.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具备良好的政治素养和沟通协调能力，掌握良好的办公软件操作技能。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大专（含大专）以上学历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。</w:t>
            </w:r>
          </w:p>
          <w:p>
            <w:pPr>
              <w:pStyle w:val="style0"/>
              <w:spacing w:lineRule="exact" w:line="400"/>
              <w:jc w:val="left"/>
              <w:rPr>
                <w:rFonts w:ascii="仿宋_GB2312" w:eastAsia="仿宋_GB2312" w:hint="default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870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ind w:left="630" w:hanging="630" w:hangingChars="300"/>
              <w:jc w:val="left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18-</w:t>
            </w: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35</w:t>
            </w:r>
          </w:p>
          <w:p>
            <w:pPr>
              <w:pStyle w:val="style0"/>
              <w:spacing w:lineRule="exact" w:line="400"/>
              <w:ind w:left="630" w:hanging="630" w:hangingChars="300"/>
              <w:jc w:val="left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周岁含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35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岁）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2041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全国范围内招聘，防城港市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</w:rPr>
              <w:t>本地户籍者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  <w:lang w:eastAsia="zh-CN"/>
              </w:rPr>
              <w:t>有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</w:rPr>
              <w:t>优先考虑。</w:t>
            </w:r>
          </w:p>
        </w:tc>
        <w:tc>
          <w:tcPr>
            <w:tcW w:w="1716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同等条件下优先录用部队（含武警、公安现役部队）退役军人和有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  <w:lang w:eastAsia="zh-CN"/>
              </w:rPr>
              <w:t>新闻写作、文体特长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人员。</w:t>
            </w:r>
          </w:p>
        </w:tc>
      </w:tr>
      <w:tr>
        <w:tblPrEx/>
        <w:trPr>
          <w:trHeight w:val="3509" w:hRule="atLeast"/>
        </w:trPr>
        <w:tc>
          <w:tcPr>
            <w:tcW w:w="63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szCs w:val="21"/>
                <w:lang w:eastAsia="zh-CN"/>
              </w:rPr>
            </w:pPr>
          </w:p>
        </w:tc>
        <w:tc>
          <w:tcPr>
            <w:tcW w:w="661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女</w:t>
            </w:r>
          </w:p>
        </w:tc>
        <w:tc>
          <w:tcPr>
            <w:tcW w:w="725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default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978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both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</w:p>
        </w:tc>
        <w:tc>
          <w:tcPr>
            <w:tcW w:w="2041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 w:hint="eastAsia"/>
                <w:color w:val="auto"/>
                <w:szCs w:val="21"/>
              </w:rPr>
            </w:pPr>
          </w:p>
        </w:tc>
        <w:tc>
          <w:tcPr>
            <w:tcW w:w="1716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 w:hint="eastAsia"/>
                <w:color w:val="auto"/>
                <w:szCs w:val="21"/>
              </w:rPr>
            </w:pPr>
          </w:p>
        </w:tc>
      </w:tr>
      <w:tr>
        <w:tblPrEx/>
        <w:trPr>
          <w:trHeight w:val="1974" w:hRule="atLeast"/>
        </w:trPr>
        <w:tc>
          <w:tcPr>
            <w:tcW w:w="63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防城海关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海关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协管员</w:t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不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限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男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女</w:t>
            </w:r>
          </w:p>
        </w:tc>
        <w:tc>
          <w:tcPr>
            <w:tcW w:w="725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978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1.不限专业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；</w:t>
            </w:r>
          </w:p>
          <w:p>
            <w:pPr>
              <w:pStyle w:val="style0"/>
              <w:spacing w:lineRule="exact" w:line="400"/>
              <w:jc w:val="left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2.须熟悉电脑基本操作技能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大专（含大专）以上学历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tcBorders/>
            <w:vAlign w:val="center"/>
          </w:tcPr>
          <w:p>
            <w:pPr>
              <w:pStyle w:val="style0"/>
              <w:spacing w:lineRule="exact" w:line="400"/>
              <w:jc w:val="left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18-</w:t>
            </w: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35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周岁（含</w:t>
            </w: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35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岁）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是</w:t>
            </w:r>
          </w:p>
        </w:tc>
        <w:tc>
          <w:tcPr>
            <w:tcW w:w="2041" w:type="dxa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全国范围内招聘，防城港市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</w:rPr>
              <w:t>本地户籍者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  <w:lang w:eastAsia="zh-CN"/>
              </w:rPr>
              <w:t>、有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  <w:lang w:val="en-US" w:eastAsia="zh-CN"/>
              </w:rPr>
              <w:t>文体特长、持有会计或计算机等专业资格或等级证书者</w:t>
            </w:r>
            <w:r>
              <w:rPr>
                <w:rFonts w:ascii="仿宋_GB2312" w:cs="仿宋_GB2312" w:eastAsia="仿宋_GB2312" w:hAnsi="仿宋_GB2312" w:hint="eastAsia"/>
                <w:color w:val="auto"/>
                <w:szCs w:val="21"/>
              </w:rPr>
              <w:t>优先考虑。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合同约定最低服务年限为1年，不满一年离退需自行退还制服等费用。</w:t>
            </w:r>
          </w:p>
        </w:tc>
      </w:tr>
      <w:tr>
        <w:tblPrEx/>
        <w:trPr>
          <w:trHeight w:val="3030" w:hRule="atLeast"/>
        </w:trPr>
        <w:tc>
          <w:tcPr>
            <w:tcW w:w="63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en-US" w:eastAsia="zh-CN"/>
              </w:rPr>
              <w:t>3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防城港海事局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海事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</w:rPr>
              <w:t>协管员</w:t>
            </w:r>
          </w:p>
        </w:tc>
        <w:tc>
          <w:tcPr>
            <w:tcW w:w="661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不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限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男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女</w:t>
            </w:r>
          </w:p>
        </w:tc>
        <w:tc>
          <w:tcPr>
            <w:tcW w:w="725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978" w:type="dxa"/>
            <w:tcBorders/>
            <w:vAlign w:val="center"/>
          </w:tcPr>
          <w:p>
            <w:pPr>
              <w:pStyle w:val="style179"/>
              <w:numPr>
                <w:ilvl w:val="0"/>
                <w:numId w:val="0"/>
              </w:numPr>
              <w:spacing w:lineRule="exact" w:line="400"/>
              <w:jc w:val="left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1.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不限专业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；</w:t>
            </w:r>
          </w:p>
          <w:p>
            <w:pPr>
              <w:pStyle w:val="style0"/>
              <w:spacing w:lineRule="exact" w:line="400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2.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有</w:t>
            </w:r>
            <w:r>
              <w:rPr>
                <w:rFonts w:ascii="仿宋_GB2312" w:eastAsia="仿宋_GB2312"/>
                <w:color w:val="auto"/>
                <w:szCs w:val="21"/>
              </w:rPr>
              <w:t>安保工作经验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优先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style0"/>
              <w:spacing w:lineRule="exact" w:line="400"/>
              <w:jc w:val="both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高中（中职、中专）以上文化程度</w:t>
            </w: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18-</w:t>
            </w: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仿宋_GB2312" w:eastAsia="仿宋_GB2312"/>
                <w:color w:val="auto"/>
                <w:szCs w:val="21"/>
              </w:rPr>
              <w:t>5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周岁（含</w:t>
            </w:r>
            <w:r>
              <w:rPr>
                <w:rFonts w:ascii="仿宋_GB2312" w:eastAsia="仿宋_GB2312"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仿宋_GB2312" w:eastAsia="仿宋_GB2312"/>
                <w:color w:val="auto"/>
                <w:szCs w:val="21"/>
              </w:rPr>
              <w:t>5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岁）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是</w:t>
            </w:r>
          </w:p>
        </w:tc>
        <w:tc>
          <w:tcPr>
            <w:tcW w:w="2041" w:type="dxa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 w:hint="eastAsia"/>
                <w:color w:val="auto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Cs w:val="21"/>
              </w:rPr>
              <w:t>招聘对象原则上为防城港市常驻人口，以本地人员为主，非本地人员需在当地居住两年以上，</w:t>
            </w:r>
            <w:r>
              <w:rPr>
                <w:rFonts w:ascii="仿宋_GB2312" w:eastAsia="仿宋_GB2312"/>
                <w:color w:val="auto"/>
                <w:szCs w:val="21"/>
              </w:rPr>
              <w:t>且</w:t>
            </w:r>
            <w:r>
              <w:rPr>
                <w:rFonts w:ascii="仿宋_GB2312" w:eastAsia="仿宋_GB2312" w:hint="eastAsia"/>
                <w:color w:val="auto"/>
                <w:szCs w:val="21"/>
              </w:rPr>
              <w:t>熟悉辖区环境。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仿宋_GB2312" w:eastAsia="仿宋_GB2312" w:hint="eastAsia"/>
                <w:color w:val="auto"/>
                <w:szCs w:val="21"/>
              </w:rPr>
            </w:pPr>
          </w:p>
          <w:bookmarkEnd w:id="0"/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tblpX="15812" w:tblpY="-10778"/>
        <w:tblOverlap w:val="never"/>
        <w:tblW w:w="17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</w:tblGrid>
      <w:tr>
        <w:trPr>
          <w:trHeight w:val="30" w:hRule="atLeast"/>
        </w:trPr>
        <w:tc>
          <w:tcPr>
            <w:tcW w:w="1797" w:type="dxa"/>
            <w:tcBorders/>
          </w:tcPr>
          <w:p>
            <w:pPr>
              <w:pStyle w:val="style0"/>
              <w:spacing w:lineRule="exact" w:line="400"/>
              <w:rPr>
                <w:rFonts w:ascii="仿宋_GB2312" w:eastAsia="仿宋_GB2312"/>
                <w:szCs w:val="21"/>
                <w:vertAlign w:val="baseline"/>
              </w:rPr>
            </w:pPr>
          </w:p>
        </w:tc>
      </w:tr>
    </w:tbl>
    <w:p>
      <w:pPr>
        <w:pStyle w:val="style0"/>
        <w:spacing w:lineRule="exact" w:line="400"/>
        <w:rPr>
          <w:rFonts w:ascii="仿宋_GB2312" w:eastAsia="仿宋_GB2312"/>
          <w:szCs w:val="21"/>
        </w:rPr>
      </w:pPr>
    </w:p>
    <w:sectPr>
      <w:pgSz w:w="16838" w:h="11906" w:orient="landscape"/>
      <w:pgMar w:top="1644" w:right="1021" w:bottom="16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paragraph" w:customStyle="1" w:styleId="style4099">
    <w:name w:val="正文 A"/>
    <w:next w:val="style4099"/>
    <w:qFormat/>
    <w:uiPriority w:val="0"/>
    <w:pPr>
      <w:framePr w:wrap="around" w:hAnchor="text" w:vAnchor="margin" w:y="1"/>
      <w:widowControl w:val="false"/>
      <w:jc w:val="both"/>
    </w:pPr>
    <w:rPr>
      <w:rFonts w:ascii="Calibri" w:cs="Calibri" w:eastAsia="Calibri" w:hAnsi="Calibri"/>
      <w:color w:val="000000"/>
      <w:kern w:val="2"/>
      <w:sz w:val="21"/>
      <w:szCs w:val="21"/>
      <w:u w:color="000000"/>
      <w:lang w:val="en-US" w:bidi="ar-SA" w:eastAsia="zh-CN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493</Words>
  <Pages>2</Pages>
  <Characters>521</Characters>
  <Application>WPS Office</Application>
  <DocSecurity>0</DocSecurity>
  <Paragraphs>96</Paragraphs>
  <ScaleCrop>false</ScaleCrop>
  <Company>Sky123.Org</Company>
  <LinksUpToDate>false</LinksUpToDate>
  <CharactersWithSpaces>527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2018-09-26T23:15:00Z</dcterms:created>
  <dc:creator>User</dc:creator>
  <lastModifiedBy>SM-S9010</lastModifiedBy>
  <lastPrinted>2024-10-18T02:56:00Z</lastPrinted>
  <dcterms:modified xsi:type="dcterms:W3CDTF">2024-11-05T04:56:01Z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9c6c36259f0041e395484351a387c660_23</vt:lpwstr>
  </property>
</Properties>
</file>